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60" w:type="dxa"/>
        <w:tblInd w:w="-702" w:type="dxa"/>
        <w:tblLook w:val="04A0"/>
      </w:tblPr>
      <w:tblGrid>
        <w:gridCol w:w="1023"/>
        <w:gridCol w:w="1233"/>
        <w:gridCol w:w="1532"/>
        <w:gridCol w:w="1572"/>
        <w:gridCol w:w="1427"/>
        <w:gridCol w:w="59"/>
        <w:gridCol w:w="1486"/>
        <w:gridCol w:w="1928"/>
      </w:tblGrid>
      <w:tr w:rsidR="00D927B8" w:rsidTr="00CE63A6">
        <w:tc>
          <w:tcPr>
            <w:tcW w:w="10260" w:type="dxa"/>
            <w:gridSpan w:val="8"/>
            <w:tcBorders>
              <w:bottom w:val="single" w:sz="4" w:space="0" w:color="auto"/>
            </w:tcBorders>
            <w:shd w:val="clear" w:color="auto" w:fill="008080"/>
          </w:tcPr>
          <w:p w:rsidR="00D927B8" w:rsidRPr="00D927B8" w:rsidRDefault="000048EE" w:rsidP="00D927B8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  <w:p w:rsidR="00D927B8" w:rsidRPr="00D927B8" w:rsidRDefault="00D927B8" w:rsidP="000048EE">
            <w:pPr>
              <w:spacing w:after="12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Arts &amp; </w:t>
            </w:r>
            <w:r w:rsidR="00150F49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Math</w:t>
            </w: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 Integration </w:t>
            </w:r>
            <w:r w:rsidR="000048EE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Workshop</w:t>
            </w: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• </w:t>
            </w:r>
            <w:r w:rsidR="000048EE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December </w:t>
            </w: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2012</w:t>
            </w:r>
          </w:p>
        </w:tc>
      </w:tr>
      <w:tr w:rsidR="00D927B8" w:rsidTr="00CE63A6">
        <w:tc>
          <w:tcPr>
            <w:tcW w:w="7027" w:type="dxa"/>
            <w:gridSpan w:val="5"/>
            <w:shd w:val="clear" w:color="auto" w:fill="F3F3F3"/>
          </w:tcPr>
          <w:p w:rsidR="00D927B8" w:rsidRPr="00736226" w:rsidRDefault="00EE1D62" w:rsidP="00EE1D62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Your Name:</w:t>
            </w:r>
            <w:r w:rsidR="00736226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8B3A95">
              <w:rPr>
                <w:rFonts w:asciiTheme="majorHAnsi" w:hAnsiTheme="majorHAnsi"/>
                <w:sz w:val="20"/>
                <w:szCs w:val="20"/>
              </w:rPr>
              <w:t xml:space="preserve">Diane M </w:t>
            </w:r>
            <w:proofErr w:type="spellStart"/>
            <w:r w:rsidR="008B3A95">
              <w:rPr>
                <w:rFonts w:asciiTheme="majorHAnsi" w:hAnsiTheme="majorHAnsi"/>
                <w:sz w:val="20"/>
                <w:szCs w:val="20"/>
              </w:rPr>
              <w:t>Worsley</w:t>
            </w:r>
            <w:proofErr w:type="spellEnd"/>
          </w:p>
        </w:tc>
        <w:tc>
          <w:tcPr>
            <w:tcW w:w="3233" w:type="dxa"/>
            <w:gridSpan w:val="3"/>
            <w:shd w:val="clear" w:color="auto" w:fill="F3F3F3"/>
          </w:tcPr>
          <w:p w:rsidR="00D927B8" w:rsidRPr="00736226" w:rsidRDefault="00D927B8" w:rsidP="00801799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0048EE">
              <w:rPr>
                <w:rFonts w:asciiTheme="majorHAnsi" w:hAnsiTheme="majorHAnsi"/>
                <w:sz w:val="20"/>
                <w:szCs w:val="20"/>
              </w:rPr>
              <w:t>6</w:t>
            </w:r>
            <w:r w:rsidR="006E6484">
              <w:rPr>
                <w:rFonts w:asciiTheme="majorHAnsi" w:hAnsiTheme="majorHAnsi"/>
                <w:sz w:val="20"/>
                <w:szCs w:val="20"/>
              </w:rPr>
              <w:t>-8</w:t>
            </w:r>
          </w:p>
        </w:tc>
      </w:tr>
      <w:tr w:rsidR="00D927B8" w:rsidTr="00CE63A6">
        <w:tc>
          <w:tcPr>
            <w:tcW w:w="10260" w:type="dxa"/>
            <w:gridSpan w:val="8"/>
            <w:shd w:val="clear" w:color="auto" w:fill="F3F3F3"/>
          </w:tcPr>
          <w:p w:rsidR="00D927B8" w:rsidRPr="00145278" w:rsidRDefault="00D927B8" w:rsidP="000048EE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 w:rsidR="00EE1D62">
              <w:rPr>
                <w:rFonts w:asciiTheme="majorHAnsi" w:hAnsiTheme="majorHAnsi"/>
                <w:sz w:val="14"/>
                <w:szCs w:val="14"/>
              </w:rPr>
              <w:t>: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0048EE"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D927B8" w:rsidTr="00CE63A6">
        <w:tc>
          <w:tcPr>
            <w:tcW w:w="10260" w:type="dxa"/>
            <w:gridSpan w:val="8"/>
            <w:shd w:val="clear" w:color="auto" w:fill="F3F3F3"/>
          </w:tcPr>
          <w:p w:rsidR="00D927B8" w:rsidRPr="00690959" w:rsidRDefault="00D927B8" w:rsidP="008B3A95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 w:rsidR="009521CA"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="00736226" w:rsidRPr="009521CA">
              <w:rPr>
                <w:rFonts w:asciiTheme="majorHAnsi" w:hAnsiTheme="majorHAnsi"/>
                <w:b/>
                <w:sz w:val="14"/>
                <w:szCs w:val="14"/>
              </w:rPr>
              <w:t>MATH MEETS</w:t>
            </w:r>
            <w:r w:rsidR="008B3A95">
              <w:rPr>
                <w:rFonts w:asciiTheme="majorHAnsi" w:hAnsiTheme="majorHAnsi"/>
                <w:b/>
                <w:sz w:val="14"/>
                <w:szCs w:val="14"/>
              </w:rPr>
              <w:t xml:space="preserve"> ART</w:t>
            </w:r>
            <w:r w:rsidR="00617E1C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150F49" w:rsidRPr="00150F49">
              <w:rPr>
                <w:rFonts w:asciiTheme="majorHAnsi" w:hAnsiTheme="majorHAnsi"/>
                <w:sz w:val="14"/>
                <w:szCs w:val="14"/>
              </w:rPr>
              <w:t>(Building Background Knowledge)</w:t>
            </w:r>
            <w:r w:rsidR="00150F49">
              <w:rPr>
                <w:rFonts w:asciiTheme="majorHAnsi" w:hAnsiTheme="majorHAnsi"/>
                <w:b/>
                <w:sz w:val="14"/>
                <w:szCs w:val="14"/>
              </w:rPr>
              <w:t>:</w:t>
            </w:r>
            <w:r w:rsidR="00690959" w:rsidRPr="00150F49">
              <w:rPr>
                <w:rFonts w:asciiTheme="majorHAnsi" w:hAnsiTheme="majorHAnsi"/>
                <w:b/>
                <w:sz w:val="14"/>
                <w:szCs w:val="14"/>
              </w:rPr>
              <w:t xml:space="preserve">  </w:t>
            </w:r>
            <w:r w:rsidR="00150F49">
              <w:rPr>
                <w:rFonts w:asciiTheme="majorHAnsi" w:hAnsiTheme="majorHAnsi"/>
                <w:sz w:val="14"/>
                <w:szCs w:val="14"/>
              </w:rPr>
              <w:t>(</w:t>
            </w:r>
            <w:r w:rsidR="00617E1C">
              <w:rPr>
                <w:rFonts w:asciiTheme="majorHAnsi" w:hAnsiTheme="majorHAnsi"/>
                <w:sz w:val="14"/>
                <w:szCs w:val="14"/>
              </w:rPr>
              <w:t xml:space="preserve">lesson </w:t>
            </w:r>
            <w:r w:rsidR="00690959" w:rsidRPr="00690959">
              <w:rPr>
                <w:rFonts w:asciiTheme="majorHAnsi" w:hAnsiTheme="majorHAnsi"/>
                <w:sz w:val="14"/>
                <w:szCs w:val="14"/>
              </w:rPr>
              <w:t>45-60 min.)</w:t>
            </w:r>
            <w:r w:rsidR="00617E1C">
              <w:rPr>
                <w:rFonts w:asciiTheme="majorHAnsi" w:hAnsiTheme="majorHAnsi"/>
                <w:sz w:val="14"/>
                <w:szCs w:val="14"/>
              </w:rPr>
              <w:t xml:space="preserve"> Small group/partners</w:t>
            </w:r>
          </w:p>
        </w:tc>
      </w:tr>
      <w:tr w:rsidR="00145278" w:rsidTr="00150F49">
        <w:trPr>
          <w:trHeight w:val="737"/>
        </w:trPr>
        <w:tc>
          <w:tcPr>
            <w:tcW w:w="1080" w:type="dxa"/>
            <w:vMerge w:val="restart"/>
            <w:vAlign w:val="center"/>
          </w:tcPr>
          <w:p w:rsidR="00145278" w:rsidRPr="0049776F" w:rsidRDefault="000048EE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MSC</w:t>
            </w:r>
          </w:p>
        </w:tc>
        <w:tc>
          <w:tcPr>
            <w:tcW w:w="1260" w:type="dxa"/>
            <w:vAlign w:val="center"/>
          </w:tcPr>
          <w:p w:rsidR="00145278" w:rsidRPr="00801799" w:rsidRDefault="00150F49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Visual Arts</w:t>
            </w:r>
          </w:p>
        </w:tc>
        <w:tc>
          <w:tcPr>
            <w:tcW w:w="7920" w:type="dxa"/>
            <w:gridSpan w:val="6"/>
            <w:vAlign w:val="center"/>
          </w:tcPr>
          <w:p w:rsidR="000048EE" w:rsidRPr="000048EE" w:rsidRDefault="000048EE" w:rsidP="000048EE">
            <w:pPr>
              <w:spacing w:before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Standard 1.0 Perceiving and Responding: Aesthetic Education</w:t>
            </w:r>
          </w:p>
          <w:p w:rsidR="000048EE" w:rsidRPr="000048EE" w:rsidRDefault="000048EE" w:rsidP="000048EE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sz w:val="14"/>
                <w:szCs w:val="14"/>
              </w:rPr>
              <w:t>Students will demonstrate the ability to perceive, </w:t>
            </w:r>
            <w:hyperlink r:id="rId5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interpret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, and respond to ideas, experiences, and the </w:t>
            </w:r>
            <w:hyperlink r:id="rId6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environment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 through visual </w:t>
            </w:r>
            <w:hyperlink r:id="rId7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.</w:t>
            </w:r>
          </w:p>
          <w:p w:rsidR="00617E1C" w:rsidRDefault="000048EE" w:rsidP="000048EE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Indicator 2.</w:t>
            </w:r>
            <w:r w:rsidRPr="000048EE">
              <w:rPr>
                <w:rFonts w:asciiTheme="majorHAnsi" w:hAnsiTheme="majorHAnsi"/>
                <w:sz w:val="14"/>
                <w:szCs w:val="14"/>
              </w:rPr>
              <w:t> </w:t>
            </w:r>
          </w:p>
          <w:p w:rsidR="005072E5" w:rsidRPr="000048EE" w:rsidRDefault="00617E1C" w:rsidP="005072E5">
            <w:pPr>
              <w:spacing w:before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 </w:t>
            </w:r>
            <w:r w:rsidR="000048EE"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Objectives 1.</w:t>
            </w:r>
            <w:r w:rsidR="005072E5"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 Standard 1.0 Perceiving and Responding: Aesthetic Education</w:t>
            </w:r>
          </w:p>
          <w:p w:rsidR="005072E5" w:rsidRPr="000048EE" w:rsidRDefault="005072E5" w:rsidP="005072E5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sz w:val="14"/>
                <w:szCs w:val="14"/>
              </w:rPr>
              <w:t>Students will demonstrate the ability to perceive, </w:t>
            </w:r>
            <w:hyperlink r:id="rId8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interpret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, and respond to ideas, experiences, and the </w:t>
            </w:r>
            <w:hyperlink r:id="rId9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environment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 through visual </w:t>
            </w:r>
            <w:hyperlink r:id="rId10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.</w:t>
            </w:r>
          </w:p>
          <w:p w:rsidR="005072E5" w:rsidRPr="000048EE" w:rsidRDefault="005072E5" w:rsidP="005072E5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Indicator 2.</w:t>
            </w:r>
            <w:r w:rsidRPr="000048EE">
              <w:rPr>
                <w:rFonts w:asciiTheme="majorHAnsi" w:hAnsiTheme="majorHAnsi"/>
                <w:sz w:val="14"/>
                <w:szCs w:val="14"/>
              </w:rPr>
              <w:t> </w:t>
            </w:r>
            <w:hyperlink r:id="rId11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Interpret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 and communicate the meaning of </w:t>
            </w:r>
            <w:hyperlink r:id="rId12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 works</w:t>
              </w:r>
            </w:hyperlink>
          </w:p>
          <w:p w:rsidR="005072E5" w:rsidRDefault="005072E5" w:rsidP="005072E5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Objectives 1. </w:t>
            </w:r>
            <w:r w:rsidRPr="000048EE">
              <w:rPr>
                <w:rFonts w:asciiTheme="majorHAnsi" w:hAnsiTheme="majorHAnsi"/>
                <w:sz w:val="14"/>
                <w:szCs w:val="14"/>
              </w:rPr>
              <w:t>Identify </w:t>
            </w:r>
            <w:hyperlink r:id="rId13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narrative conventions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 used by </w:t>
            </w:r>
            <w:hyperlink r:id="rId14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artists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 in selected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artworks.</w:t>
            </w:r>
          </w:p>
          <w:p w:rsidR="005072E5" w:rsidRDefault="005072E5" w:rsidP="005072E5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5072E5" w:rsidRPr="000048EE" w:rsidRDefault="005072E5" w:rsidP="005072E5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Indicator</w:t>
            </w: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 </w:t>
            </w: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3. </w:t>
            </w:r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Analyze the application of the </w:t>
            </w:r>
            <w:hyperlink r:id="rId15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elements of art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and </w:t>
            </w:r>
            <w:hyperlink r:id="rId16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principles of design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in </w:t>
            </w:r>
            <w:hyperlink r:id="rId17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artistic exemplars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and personal </w:t>
            </w:r>
            <w:hyperlink r:id="rId18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artworks</w:t>
              </w:r>
            </w:hyperlink>
          </w:p>
          <w:p w:rsidR="005072E5" w:rsidRPr="000048EE" w:rsidRDefault="005072E5" w:rsidP="005072E5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Objectives</w:t>
            </w: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 1. </w:t>
            </w:r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Identify and </w:t>
            </w:r>
            <w:hyperlink r:id="rId19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describe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how </w:t>
            </w:r>
            <w:hyperlink r:id="rId20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artists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use </w:t>
            </w:r>
            <w:hyperlink r:id="rId21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design concepts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to organize the </w:t>
            </w:r>
            <w:hyperlink r:id="rId22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elements of art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and </w:t>
            </w:r>
            <w:hyperlink r:id="rId23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principles of design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to convey ideas, thoughts, and feelings</w:t>
            </w:r>
            <w:r>
              <w:rPr>
                <w:rFonts w:asciiTheme="majorHAnsi" w:hAnsiTheme="majorHAnsi"/>
                <w:bCs/>
                <w:sz w:val="14"/>
                <w:szCs w:val="14"/>
              </w:rPr>
              <w:t>.</w:t>
            </w:r>
          </w:p>
          <w:p w:rsidR="00690959" w:rsidRPr="00690959" w:rsidRDefault="00690959" w:rsidP="00617E1C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145278" w:rsidTr="00150F49">
        <w:trPr>
          <w:trHeight w:val="620"/>
        </w:trPr>
        <w:tc>
          <w:tcPr>
            <w:tcW w:w="1080" w:type="dxa"/>
            <w:vMerge/>
          </w:tcPr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5278" w:rsidRDefault="00145278">
            <w:pPr>
              <w:rPr>
                <w:rFonts w:asciiTheme="majorHAnsi" w:hAnsiTheme="majorHAnsi"/>
                <w:sz w:val="16"/>
                <w:szCs w:val="16"/>
              </w:rPr>
            </w:pPr>
            <w:r w:rsidRPr="00801799">
              <w:rPr>
                <w:rFonts w:asciiTheme="majorHAnsi" w:hAnsiTheme="majorHAnsi"/>
                <w:b/>
                <w:sz w:val="16"/>
                <w:szCs w:val="16"/>
              </w:rPr>
              <w:t>Mathematics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920" w:type="dxa"/>
            <w:gridSpan w:val="6"/>
          </w:tcPr>
          <w:p w:rsidR="00C6691A" w:rsidRPr="00ED2030" w:rsidRDefault="00C6691A" w:rsidP="00C6691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E3127A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Standard </w:t>
            </w:r>
            <w:r w:rsidRPr="00ED2030">
              <w:rPr>
                <w:rFonts w:ascii="Calibri" w:hAnsi="Calibri" w:cs="Calibri"/>
                <w:bCs/>
                <w:sz w:val="16"/>
                <w:szCs w:val="16"/>
              </w:rPr>
              <w:t xml:space="preserve">3.OA.7 </w:t>
            </w:r>
          </w:p>
          <w:p w:rsidR="00C6691A" w:rsidRPr="00ED2030" w:rsidRDefault="00C6691A" w:rsidP="00C6691A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ED2030">
              <w:rPr>
                <w:rFonts w:ascii="Calibri" w:hAnsi="Calibri" w:cs="Calibri"/>
                <w:bCs/>
                <w:sz w:val="16"/>
                <w:szCs w:val="16"/>
              </w:rPr>
              <w:t xml:space="preserve">Fluently </w:t>
            </w:r>
            <w:r w:rsidRPr="00ED2030">
              <w:rPr>
                <w:rFonts w:ascii="Calibri" w:hAnsi="Calibri" w:cs="Calibri"/>
                <w:sz w:val="16"/>
                <w:szCs w:val="16"/>
              </w:rPr>
              <w:t xml:space="preserve">multiply and divide within 100, using strategies such as the relationship between multiplication and division (e.g., knowing that 8 x 5 = 40, one knows 40 ÷ 5 = 8) or properties of operations. By the end of Grade 3, know from memory all products of two one-digit numbers. </w:t>
            </w:r>
          </w:p>
          <w:p w:rsidR="00C6691A" w:rsidRPr="00E3127A" w:rsidRDefault="00C6691A" w:rsidP="00C6691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127A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Essential Skills and Knowledge </w:t>
            </w:r>
          </w:p>
          <w:p w:rsidR="00C6691A" w:rsidRPr="00E3127A" w:rsidRDefault="00C6691A" w:rsidP="00C6691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127A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Knowledge of multiplication and division strategies and properties to achieve efficient recall of facts </w:t>
            </w:r>
          </w:p>
          <w:p w:rsidR="00C6691A" w:rsidRPr="00E3127A" w:rsidRDefault="00C6691A" w:rsidP="00C6691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127A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Ability to use multiple strategies to enhance understanding </w:t>
            </w:r>
          </w:p>
          <w:p w:rsidR="00C6691A" w:rsidRPr="00E3127A" w:rsidRDefault="00C6691A" w:rsidP="00C6691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127A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Ability to model the various properties using concrete materials </w:t>
            </w:r>
          </w:p>
          <w:p w:rsidR="000048EE" w:rsidRPr="000048EE" w:rsidRDefault="000048EE" w:rsidP="008B3A95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 </w:t>
            </w:r>
          </w:p>
        </w:tc>
      </w:tr>
      <w:tr w:rsidR="00CE63A6" w:rsidTr="00CE63A6">
        <w:tc>
          <w:tcPr>
            <w:tcW w:w="1080" w:type="dxa"/>
            <w:shd w:val="clear" w:color="auto" w:fill="F3F3F3"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3F3F3"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F3F3F3"/>
            <w:vAlign w:val="center"/>
          </w:tcPr>
          <w:p w:rsidR="00801799" w:rsidRPr="00801799" w:rsidRDefault="00801799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KNOWLEDGE OBJECTIVES</w:t>
            </w:r>
          </w:p>
          <w:p w:rsidR="00D927B8" w:rsidRPr="0049776F" w:rsidRDefault="00801799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Know)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801799" w:rsidRDefault="00801799" w:rsidP="008D22A5">
            <w:pPr>
              <w:spacing w:before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SKILL</w:t>
            </w:r>
          </w:p>
          <w:p w:rsidR="00D927B8" w:rsidRDefault="00801799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OBJECTIVES</w:t>
            </w:r>
          </w:p>
          <w:p w:rsidR="00801799" w:rsidRPr="00801799" w:rsidRDefault="008D22A5" w:rsidP="008D22A5">
            <w:pPr>
              <w:spacing w:after="120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Be Able To Do)</w:t>
            </w:r>
          </w:p>
        </w:tc>
        <w:tc>
          <w:tcPr>
            <w:tcW w:w="1584" w:type="dxa"/>
            <w:gridSpan w:val="2"/>
            <w:shd w:val="clear" w:color="auto" w:fill="F3F3F3"/>
            <w:vAlign w:val="center"/>
          </w:tcPr>
          <w:p w:rsidR="00D927B8" w:rsidRDefault="008D22A5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FORMATIVE</w:t>
            </w:r>
          </w:p>
          <w:p w:rsidR="008D22A5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8D22A5" w:rsidRDefault="008D22A5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SUMATIVE</w:t>
            </w:r>
          </w:p>
          <w:p w:rsidR="00D927B8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D927B8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21</w:t>
            </w:r>
            <w:r w:rsidRPr="008D22A5">
              <w:rPr>
                <w:rFonts w:asciiTheme="majorHAnsi" w:hAnsiTheme="majorHAnsi"/>
                <w:sz w:val="14"/>
                <w:szCs w:val="14"/>
                <w:vertAlign w:val="superscript"/>
              </w:rPr>
              <w:t>ST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CENTURY SKILLS</w:t>
            </w:r>
          </w:p>
        </w:tc>
      </w:tr>
      <w:tr w:rsidR="00CE63A6" w:rsidTr="00CE63A6">
        <w:tc>
          <w:tcPr>
            <w:tcW w:w="1080" w:type="dxa"/>
            <w:vMerge w:val="restart"/>
            <w:vAlign w:val="center"/>
          </w:tcPr>
          <w:p w:rsidR="00AD52E4" w:rsidRDefault="007E604D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  <w:r w:rsidR="00AD52E4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771BFD" w:rsidRPr="00150F49" w:rsidRDefault="00AD52E4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150F49">
              <w:rPr>
                <w:rFonts w:asciiTheme="majorHAnsi" w:hAnsiTheme="majorHAnsi"/>
                <w:b/>
                <w:sz w:val="16"/>
                <w:szCs w:val="16"/>
              </w:rPr>
              <w:t>Part 1</w:t>
            </w:r>
          </w:p>
          <w:p w:rsidR="00771BFD" w:rsidRPr="00771BFD" w:rsidRDefault="00771BFD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927B8" w:rsidRPr="008D22A5" w:rsidRDefault="008D22A5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1584" w:type="dxa"/>
          </w:tcPr>
          <w:p w:rsidR="00771BFD" w:rsidRDefault="00771BFD" w:rsidP="00771BFD">
            <w:pPr>
              <w:spacing w:before="120"/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22A5" w:rsidRPr="00145278" w:rsidRDefault="008D22A5" w:rsidP="008B3A95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</w:tcPr>
          <w:p w:rsid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22A5" w:rsidRPr="00145278" w:rsidRDefault="00B44B60" w:rsidP="00150F49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</w:p>
        </w:tc>
        <w:tc>
          <w:tcPr>
            <w:tcW w:w="1584" w:type="dxa"/>
            <w:gridSpan w:val="2"/>
          </w:tcPr>
          <w:p w:rsidR="00D927B8" w:rsidRPr="00145278" w:rsidRDefault="00D927B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22A5" w:rsidRPr="00145278" w:rsidRDefault="008D22A5" w:rsidP="008B3A95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</w:tcPr>
          <w:p w:rsidR="00B44B60" w:rsidRDefault="00B44B60" w:rsidP="00B44B60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CE63A6" w:rsidRPr="00145278" w:rsidRDefault="00CE63A6" w:rsidP="00B44B60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</w:tcPr>
          <w:p w:rsidR="00CE63A6" w:rsidRPr="00145278" w:rsidRDefault="00CE63A6" w:rsidP="008B3A95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CE63A6" w:rsidTr="00CE63A6">
        <w:tc>
          <w:tcPr>
            <w:tcW w:w="1080" w:type="dxa"/>
            <w:vMerge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927B8" w:rsidRPr="008D22A5" w:rsidRDefault="008D22A5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Mathematics</w:t>
            </w:r>
          </w:p>
        </w:tc>
        <w:tc>
          <w:tcPr>
            <w:tcW w:w="1584" w:type="dxa"/>
          </w:tcPr>
          <w:p w:rsidR="00145278" w:rsidRPr="00C8483F" w:rsidRDefault="00145278" w:rsidP="00145278">
            <w:pPr>
              <w:contextualSpacing/>
              <w:rPr>
                <w:rFonts w:asciiTheme="majorHAnsi" w:hAnsiTheme="majorHAnsi"/>
                <w:sz w:val="18"/>
                <w:szCs w:val="18"/>
              </w:rPr>
            </w:pPr>
          </w:p>
          <w:p w:rsidR="004E45C0" w:rsidRPr="00C8483F" w:rsidRDefault="00771BFD" w:rsidP="004E45C0">
            <w:pPr>
              <w:contextualSpacing/>
              <w:rPr>
                <w:rFonts w:asciiTheme="majorHAnsi" w:hAnsiTheme="majorHAnsi"/>
                <w:sz w:val="18"/>
                <w:szCs w:val="18"/>
              </w:rPr>
            </w:pPr>
            <w:r w:rsidRPr="00C8483F">
              <w:rPr>
                <w:rFonts w:asciiTheme="majorHAnsi" w:hAnsiTheme="majorHAnsi"/>
                <w:sz w:val="18"/>
                <w:szCs w:val="18"/>
              </w:rPr>
              <w:t>-</w:t>
            </w:r>
            <w:r w:rsidR="004E45C0" w:rsidRPr="00C8483F">
              <w:rPr>
                <w:rFonts w:asciiTheme="majorHAnsi" w:hAnsiTheme="majorHAnsi"/>
                <w:sz w:val="18"/>
                <w:szCs w:val="18"/>
              </w:rPr>
              <w:t xml:space="preserve"> Formulas and process to find area and perimeter</w:t>
            </w:r>
          </w:p>
          <w:p w:rsidR="004E45C0" w:rsidRPr="00C8483F" w:rsidRDefault="004E45C0" w:rsidP="004E45C0">
            <w:pPr>
              <w:contextualSpacing/>
              <w:rPr>
                <w:rFonts w:asciiTheme="majorHAnsi" w:hAnsiTheme="majorHAnsi"/>
                <w:sz w:val="18"/>
                <w:szCs w:val="18"/>
              </w:rPr>
            </w:pPr>
            <w:r w:rsidRPr="00C8483F">
              <w:rPr>
                <w:rFonts w:asciiTheme="majorHAnsi" w:hAnsiTheme="majorHAnsi"/>
                <w:sz w:val="18"/>
                <w:szCs w:val="18"/>
              </w:rPr>
              <w:t>Multiplication tables and basic arithmetic facts</w:t>
            </w:r>
          </w:p>
          <w:p w:rsidR="004E45C0" w:rsidRPr="00C8483F" w:rsidRDefault="004E45C0" w:rsidP="004E45C0">
            <w:pPr>
              <w:contextualSpacing/>
              <w:rPr>
                <w:rFonts w:asciiTheme="majorHAnsi" w:hAnsiTheme="majorHAnsi"/>
                <w:sz w:val="18"/>
                <w:szCs w:val="18"/>
              </w:rPr>
            </w:pPr>
          </w:p>
          <w:p w:rsidR="00C8483F" w:rsidRPr="00C8483F" w:rsidRDefault="00C8483F" w:rsidP="00C8483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8483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Standard </w:t>
            </w:r>
            <w:r w:rsidRPr="00C8483F">
              <w:rPr>
                <w:b/>
                <w:bCs/>
                <w:sz w:val="18"/>
                <w:szCs w:val="18"/>
              </w:rPr>
              <w:t xml:space="preserve">3.OA.4 </w:t>
            </w:r>
          </w:p>
          <w:p w:rsidR="00C8483F" w:rsidRPr="00C8483F" w:rsidRDefault="00C8483F" w:rsidP="00C8483F">
            <w:pPr>
              <w:pStyle w:val="Default"/>
              <w:rPr>
                <w:sz w:val="18"/>
                <w:szCs w:val="18"/>
              </w:rPr>
            </w:pPr>
            <w:r w:rsidRPr="00C8483F">
              <w:rPr>
                <w:sz w:val="18"/>
                <w:szCs w:val="18"/>
              </w:rPr>
              <w:t xml:space="preserve">Determine the unknown whole number in a multiplication or division equation relating three whole numbers. </w:t>
            </w:r>
            <w:r w:rsidRPr="00C8483F">
              <w:rPr>
                <w:i/>
                <w:iCs/>
                <w:sz w:val="18"/>
                <w:szCs w:val="18"/>
              </w:rPr>
              <w:t xml:space="preserve">For example, determine the unknown number that makes the equation true in each of the </w:t>
            </w:r>
            <w:r w:rsidRPr="00C8483F">
              <w:rPr>
                <w:i/>
                <w:iCs/>
                <w:sz w:val="18"/>
                <w:szCs w:val="18"/>
              </w:rPr>
              <w:lastRenderedPageBreak/>
              <w:t xml:space="preserve">equations </w:t>
            </w:r>
          </w:p>
          <w:p w:rsidR="00C8483F" w:rsidRPr="00C8483F" w:rsidRDefault="00C8483F" w:rsidP="00C8483F">
            <w:pPr>
              <w:pStyle w:val="Default"/>
              <w:rPr>
                <w:rFonts w:eastAsia="MS Mincho"/>
                <w:i/>
                <w:iCs/>
                <w:sz w:val="18"/>
                <w:szCs w:val="18"/>
              </w:rPr>
            </w:pPr>
            <w:r w:rsidRPr="00C8483F">
              <w:rPr>
                <w:i/>
                <w:iCs/>
                <w:sz w:val="18"/>
                <w:szCs w:val="18"/>
              </w:rPr>
              <w:t xml:space="preserve">8 </w:t>
            </w:r>
            <w:proofErr w:type="gramStart"/>
            <w:r w:rsidRPr="00C8483F">
              <w:rPr>
                <w:i/>
                <w:iCs/>
                <w:sz w:val="18"/>
                <w:szCs w:val="18"/>
              </w:rPr>
              <w:t>x ?</w:t>
            </w:r>
            <w:proofErr w:type="gramEnd"/>
            <w:r w:rsidRPr="00C8483F">
              <w:rPr>
                <w:i/>
                <w:iCs/>
                <w:sz w:val="18"/>
                <w:szCs w:val="18"/>
              </w:rPr>
              <w:t xml:space="preserve"> = 48, 5 =</w:t>
            </w:r>
            <w:r w:rsidRPr="00C8483F">
              <w:rPr>
                <w:rFonts w:ascii="MS Mincho" w:eastAsia="MS Mincho" w:cs="MS Mincho" w:hint="eastAsia"/>
                <w:sz w:val="18"/>
                <w:szCs w:val="18"/>
              </w:rPr>
              <w:t>☐</w:t>
            </w:r>
            <w:r w:rsidRPr="00C8483F">
              <w:rPr>
                <w:rFonts w:ascii="MS Mincho" w:eastAsia="MS Mincho" w:cs="MS Mincho"/>
                <w:sz w:val="18"/>
                <w:szCs w:val="18"/>
              </w:rPr>
              <w:t xml:space="preserve"> </w:t>
            </w:r>
            <w:r w:rsidRPr="00C8483F">
              <w:rPr>
                <w:rFonts w:eastAsia="MS Mincho"/>
                <w:i/>
                <w:iCs/>
                <w:sz w:val="18"/>
                <w:szCs w:val="18"/>
              </w:rPr>
              <w:t xml:space="preserve">÷ 3, 6 x 6 </w:t>
            </w:r>
            <w:proofErr w:type="gramStart"/>
            <w:r w:rsidRPr="00C8483F">
              <w:rPr>
                <w:rFonts w:eastAsia="MS Mincho"/>
                <w:i/>
                <w:iCs/>
                <w:sz w:val="18"/>
                <w:szCs w:val="18"/>
              </w:rPr>
              <w:t>= ?</w:t>
            </w:r>
            <w:proofErr w:type="gramEnd"/>
            <w:r w:rsidRPr="00C8483F">
              <w:rPr>
                <w:rFonts w:eastAsia="MS Mincho"/>
                <w:i/>
                <w:iCs/>
                <w:sz w:val="18"/>
                <w:szCs w:val="18"/>
              </w:rPr>
              <w:t xml:space="preserve"> </w:t>
            </w:r>
          </w:p>
          <w:p w:rsidR="008D22A5" w:rsidRPr="00C8483F" w:rsidRDefault="008D22A5" w:rsidP="00C8483F">
            <w:pPr>
              <w:pStyle w:val="Defaul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84" w:type="dxa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22A5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  <w:r w:rsidR="004E45C0">
              <w:rPr>
                <w:rFonts w:asciiTheme="majorHAnsi" w:hAnsiTheme="majorHAnsi"/>
                <w:sz w:val="14"/>
                <w:szCs w:val="14"/>
              </w:rPr>
              <w:t xml:space="preserve"> The student will be diligent and solve the problems</w:t>
            </w:r>
          </w:p>
          <w:p w:rsidR="00C8483F" w:rsidRDefault="00C8483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C8483F" w:rsidRDefault="00C8483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C8483F" w:rsidRDefault="00C8483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C8483F" w:rsidRPr="00C8483F" w:rsidRDefault="00C8483F" w:rsidP="00C8483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8483F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Essential Skills and Knowledge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:</w:t>
            </w:r>
          </w:p>
          <w:p w:rsidR="00C8483F" w:rsidRPr="00C8483F" w:rsidRDefault="00C8483F" w:rsidP="00C8483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848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Ability to use concrete objects to compose and decompose sets of numbers </w:t>
            </w:r>
          </w:p>
          <w:p w:rsidR="00C8483F" w:rsidRPr="00C8483F" w:rsidRDefault="00C8483F" w:rsidP="00C8483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848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Ability to use the inverse operation as it applies to given equation </w:t>
            </w:r>
          </w:p>
          <w:p w:rsidR="00C8483F" w:rsidRPr="00C8483F" w:rsidRDefault="00C8483F" w:rsidP="00C8483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8483F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Knowledge of fact families </w:t>
            </w:r>
          </w:p>
          <w:p w:rsidR="00C8483F" w:rsidRPr="00C8483F" w:rsidRDefault="00C8483F" w:rsidP="00C8483F">
            <w:pPr>
              <w:pStyle w:val="Default"/>
              <w:rPr>
                <w:color w:val="auto"/>
                <w:sz w:val="18"/>
                <w:szCs w:val="18"/>
              </w:rPr>
            </w:pPr>
            <w:r w:rsidRPr="00C8483F">
              <w:rPr>
                <w:bCs/>
                <w:sz w:val="18"/>
                <w:szCs w:val="18"/>
              </w:rPr>
              <w:t xml:space="preserve">Ability to find the unknown in a given multiplication or division equation, where </w:t>
            </w:r>
            <w:r w:rsidRPr="00C8483F">
              <w:rPr>
                <w:bCs/>
                <w:sz w:val="18"/>
                <w:szCs w:val="18"/>
              </w:rPr>
              <w:lastRenderedPageBreak/>
              <w:t xml:space="preserve">the unknown is represented by a </w:t>
            </w:r>
          </w:p>
          <w:p w:rsidR="00C8483F" w:rsidRPr="00C8483F" w:rsidRDefault="00C8483F" w:rsidP="00C8483F">
            <w:pPr>
              <w:pStyle w:val="Default"/>
              <w:rPr>
                <w:sz w:val="18"/>
                <w:szCs w:val="18"/>
              </w:rPr>
            </w:pPr>
            <w:r w:rsidRPr="00C8483F">
              <w:rPr>
                <w:bCs/>
                <w:sz w:val="18"/>
                <w:szCs w:val="18"/>
              </w:rPr>
              <w:t xml:space="preserve">question mark, a box, or a blank line </w:t>
            </w:r>
          </w:p>
          <w:p w:rsidR="00C8483F" w:rsidRPr="00C8483F" w:rsidRDefault="00C8483F" w:rsidP="00C8483F">
            <w:pPr>
              <w:pStyle w:val="Default"/>
              <w:rPr>
                <w:sz w:val="18"/>
                <w:szCs w:val="18"/>
              </w:rPr>
            </w:pPr>
            <w:r w:rsidRPr="00C8483F">
              <w:rPr>
                <w:bCs/>
                <w:sz w:val="18"/>
                <w:szCs w:val="18"/>
              </w:rPr>
              <w:t xml:space="preserve">Ability to solve problems that employ different placements for the unknown and product/quotient </w:t>
            </w:r>
          </w:p>
          <w:p w:rsidR="00C8483F" w:rsidRPr="00145278" w:rsidRDefault="00C8483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  <w:gridSpan w:val="2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4E45C0" w:rsidRPr="004E45C0" w:rsidRDefault="00771BFD" w:rsidP="004E45C0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  <w:r w:rsidR="004E45C0" w:rsidRPr="004E45C0">
              <w:rPr>
                <w:rFonts w:asciiTheme="majorHAnsi" w:hAnsiTheme="majorHAnsi"/>
                <w:sz w:val="14"/>
                <w:szCs w:val="14"/>
              </w:rPr>
              <w:t xml:space="preserve"> Student will be able to explain and show how the answer is found</w:t>
            </w:r>
          </w:p>
          <w:p w:rsidR="008D22A5" w:rsidRPr="00145278" w:rsidRDefault="008D22A5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</w:tcPr>
          <w:p w:rsidR="008B3A95" w:rsidRPr="00B44B60" w:rsidRDefault="008B3A95" w:rsidP="008B3A95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b/>
                <w:sz w:val="12"/>
                <w:szCs w:val="12"/>
              </w:rPr>
              <w:t xml:space="preserve">Post- survey – 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>quick poll of previous knowledge (post-it and photo camera)</w:t>
            </w:r>
          </w:p>
          <w:p w:rsidR="008B3A95" w:rsidRDefault="008B3A95" w:rsidP="008B3A95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145278" w:rsidRPr="00145278" w:rsidRDefault="008B3A95" w:rsidP="008B3A95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>Constructed responses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on exit ticket</w:t>
            </w: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  <w:tc>
          <w:tcPr>
            <w:tcW w:w="1584" w:type="dxa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B3A95" w:rsidRPr="00C6691A" w:rsidRDefault="00771BFD" w:rsidP="008B3A95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C6691A">
              <w:rPr>
                <w:rFonts w:ascii="Calibri" w:hAnsi="Calibri" w:cs="Calibri"/>
                <w:sz w:val="16"/>
                <w:szCs w:val="16"/>
              </w:rPr>
              <w:t>-</w:t>
            </w:r>
            <w:r w:rsidR="008B3A95" w:rsidRPr="00C6691A">
              <w:rPr>
                <w:rFonts w:ascii="Calibri" w:hAnsi="Calibri" w:cs="Calibri"/>
                <w:sz w:val="16"/>
                <w:szCs w:val="16"/>
              </w:rPr>
              <w:t>• Critical thinking and problem solving</w:t>
            </w:r>
          </w:p>
          <w:p w:rsidR="008B3A95" w:rsidRPr="00C6691A" w:rsidRDefault="008B3A95" w:rsidP="008B3A95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  <w:p w:rsidR="008B3A95" w:rsidRPr="00C6691A" w:rsidRDefault="008B3A95" w:rsidP="008B3A95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C6691A">
              <w:rPr>
                <w:rFonts w:ascii="Calibri" w:hAnsi="Calibri" w:cs="Calibri"/>
                <w:sz w:val="16"/>
                <w:szCs w:val="16"/>
              </w:rPr>
              <w:t>• Collaboration, teamwork, and leadership</w:t>
            </w:r>
          </w:p>
          <w:p w:rsidR="008B3A95" w:rsidRPr="00C6691A" w:rsidRDefault="008B3A95" w:rsidP="008B3A95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  <w:p w:rsidR="008B3A95" w:rsidRPr="00C6691A" w:rsidRDefault="008B3A95" w:rsidP="008B3A95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C6691A">
              <w:rPr>
                <w:rFonts w:ascii="Calibri" w:hAnsi="Calibri" w:cs="Calibri"/>
                <w:sz w:val="16"/>
                <w:szCs w:val="16"/>
              </w:rPr>
              <w:t>• Communication</w:t>
            </w:r>
          </w:p>
          <w:p w:rsidR="00C6691A" w:rsidRPr="00C6691A" w:rsidRDefault="00C6691A" w:rsidP="00C6691A">
            <w:pPr>
              <w:pStyle w:val="Default"/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  <w:p w:rsidR="00C6691A" w:rsidRPr="00C6691A" w:rsidRDefault="00C6691A" w:rsidP="00C6691A">
            <w:pPr>
              <w:pStyle w:val="Default"/>
              <w:numPr>
                <w:ilvl w:val="0"/>
                <w:numId w:val="5"/>
              </w:numPr>
              <w:rPr>
                <w:rFonts w:ascii="Calibri" w:hAnsi="Calibri" w:cs="Calibri"/>
                <w:sz w:val="16"/>
                <w:szCs w:val="16"/>
              </w:rPr>
            </w:pPr>
            <w:r w:rsidRPr="00C6691A">
              <w:rPr>
                <w:rFonts w:ascii="Calibri" w:hAnsi="Calibri" w:cs="Calibri"/>
                <w:bCs/>
                <w:sz w:val="16"/>
                <w:szCs w:val="16"/>
              </w:rPr>
              <w:t xml:space="preserve">Make sense of problems and persevere in solving them. </w:t>
            </w:r>
          </w:p>
          <w:p w:rsidR="00C6691A" w:rsidRPr="00C6691A" w:rsidRDefault="00C6691A" w:rsidP="00C6691A">
            <w:pPr>
              <w:pStyle w:val="Default"/>
              <w:numPr>
                <w:ilvl w:val="0"/>
                <w:numId w:val="5"/>
              </w:numPr>
              <w:rPr>
                <w:rFonts w:ascii="Calibri" w:hAnsi="Calibri" w:cs="Calibri"/>
                <w:sz w:val="16"/>
                <w:szCs w:val="16"/>
              </w:rPr>
            </w:pPr>
            <w:r w:rsidRPr="00C6691A">
              <w:rPr>
                <w:rFonts w:ascii="Calibri" w:hAnsi="Calibri" w:cs="Calibri"/>
                <w:bCs/>
                <w:sz w:val="16"/>
                <w:szCs w:val="16"/>
              </w:rPr>
              <w:t xml:space="preserve">Reason abstractly and quantitatively. </w:t>
            </w:r>
          </w:p>
          <w:p w:rsidR="00C6691A" w:rsidRPr="00C6691A" w:rsidRDefault="00C6691A" w:rsidP="00C6691A">
            <w:pPr>
              <w:pStyle w:val="Default"/>
              <w:numPr>
                <w:ilvl w:val="0"/>
                <w:numId w:val="5"/>
              </w:numPr>
              <w:rPr>
                <w:rFonts w:ascii="Calibri" w:hAnsi="Calibri" w:cs="Calibri"/>
                <w:sz w:val="16"/>
                <w:szCs w:val="16"/>
              </w:rPr>
            </w:pPr>
            <w:r w:rsidRPr="00C6691A">
              <w:rPr>
                <w:rFonts w:ascii="Calibri" w:hAnsi="Calibri" w:cs="Calibri"/>
                <w:bCs/>
                <w:sz w:val="16"/>
                <w:szCs w:val="16"/>
              </w:rPr>
              <w:t xml:space="preserve">Construct viable </w:t>
            </w:r>
          </w:p>
          <w:p w:rsidR="00C6691A" w:rsidRPr="00C6691A" w:rsidRDefault="00C6691A" w:rsidP="00C6691A">
            <w:pPr>
              <w:pStyle w:val="Default"/>
              <w:ind w:left="720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C6691A">
              <w:rPr>
                <w:rFonts w:ascii="Calibri" w:hAnsi="Calibri" w:cs="Calibri"/>
                <w:bCs/>
                <w:sz w:val="16"/>
                <w:szCs w:val="16"/>
              </w:rPr>
              <w:t>arguments</w:t>
            </w:r>
            <w:proofErr w:type="gramEnd"/>
            <w:r w:rsidRPr="00C6691A">
              <w:rPr>
                <w:rFonts w:ascii="Calibri" w:hAnsi="Calibri" w:cs="Calibri"/>
                <w:bCs/>
                <w:sz w:val="16"/>
                <w:szCs w:val="16"/>
              </w:rPr>
              <w:t xml:space="preserve"> and critique the reasoning of others. </w:t>
            </w:r>
          </w:p>
          <w:p w:rsidR="00C6691A" w:rsidRPr="00C6691A" w:rsidRDefault="00C6691A" w:rsidP="00C6691A">
            <w:pPr>
              <w:pStyle w:val="Default"/>
              <w:rPr>
                <w:rFonts w:asciiTheme="majorHAnsi" w:hAnsiTheme="majorHAnsi" w:cstheme="majorHAnsi"/>
                <w:sz w:val="16"/>
                <w:szCs w:val="16"/>
              </w:rPr>
            </w:pPr>
            <w:r w:rsidRPr="00C6691A">
              <w:rPr>
                <w:rFonts w:ascii="Calibri" w:hAnsi="Calibri" w:cs="Calibri"/>
                <w:bCs/>
                <w:sz w:val="16"/>
                <w:szCs w:val="16"/>
              </w:rPr>
              <w:t xml:space="preserve"> Model with mathematics</w:t>
            </w:r>
            <w:r w:rsidRPr="00C6691A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. </w:t>
            </w:r>
          </w:p>
          <w:p w:rsidR="008D22A5" w:rsidRPr="00145278" w:rsidRDefault="008D22A5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</w:tbl>
    <w:p w:rsidR="008B3A95" w:rsidRPr="008B3A95" w:rsidRDefault="008B3A95" w:rsidP="008B3A95">
      <w:r w:rsidRPr="008B3A95">
        <w:lastRenderedPageBreak/>
        <w:t xml:space="preserve">The view outside George’s bedroom window was gray and boring. George decided to paint the wall in his bedroom the same way Ellsworth Kelly painted </w:t>
      </w:r>
      <w:r w:rsidRPr="008B3A95">
        <w:rPr>
          <w:i/>
        </w:rPr>
        <w:t xml:space="preserve">Colors for a Large Wall.  </w:t>
      </w:r>
      <w:r w:rsidRPr="008B3A95">
        <w:t>After the first week, George had 3/4 of the squares left to paint.  The second week he painted ¾ of what was left.  How much of the painting – as a fraction– he needs to work on?  How many squares need to be painted?</w:t>
      </w:r>
    </w:p>
    <w:p w:rsidR="008B3A95" w:rsidRPr="008B3A95" w:rsidRDefault="00240097" w:rsidP="008B3A95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S</w:t>
      </w:r>
      <w:r w:rsidR="008B3A95" w:rsidRPr="008B3A95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olution</w:t>
      </w:r>
    </w:p>
    <w:p w:rsidR="008B3A95" w:rsidRPr="008B3A95" w:rsidRDefault="008B3A95" w:rsidP="008B3A95"/>
    <w:p w:rsidR="008B3A95" w:rsidRPr="008B3A95" w:rsidRDefault="008B3A95" w:rsidP="008B3A95">
      <w:r w:rsidRPr="008B3A95">
        <w:t>Remember: “top number” = counting and “bottom number” = naming!</w:t>
      </w:r>
    </w:p>
    <w:p w:rsidR="008B3A95" w:rsidRPr="008B3A95" w:rsidRDefault="008B3A95" w:rsidP="008B3A95"/>
    <w:p w:rsidR="008B3A95" w:rsidRPr="008B3A95" w:rsidRDefault="008B3A95" w:rsidP="008B3A95">
      <w:r w:rsidRPr="008B3A95">
        <w:t xml:space="preserve">¾ of 2/3 </w:t>
      </w:r>
      <w:r w:rsidRPr="008B3A95">
        <w:rPr>
          <w:rFonts w:ascii="Wingdings" w:hAnsi="Wingdings"/>
        </w:rPr>
        <w:t></w:t>
      </w:r>
      <w:r w:rsidRPr="008B3A95">
        <w:t xml:space="preserve"> of means multiplication</w:t>
      </w:r>
    </w:p>
    <w:p w:rsidR="008B3A95" w:rsidRPr="008B3A95" w:rsidRDefault="008B3A95" w:rsidP="008B3A95"/>
    <w:p w:rsidR="008B3A95" w:rsidRPr="008B3A95" w:rsidRDefault="008B3A95" w:rsidP="008B3A95">
      <w:r w:rsidRPr="008B3A95">
        <w:t>¾ x 2/3= 6/12=3/4</w:t>
      </w:r>
    </w:p>
    <w:p w:rsidR="008B3A95" w:rsidRPr="008B3A95" w:rsidRDefault="008B3A95" w:rsidP="008B3A95"/>
    <w:p w:rsidR="008B3A95" w:rsidRPr="008B3A95" w:rsidRDefault="008B3A95" w:rsidP="008B3A95">
      <w:r w:rsidRPr="008B3A95">
        <w:t>¾ corresponds to 16 squares</w:t>
      </w:r>
    </w:p>
    <w:p w:rsidR="008B3A95" w:rsidRDefault="008B3A95" w:rsidP="008B3A95"/>
    <w:p w:rsidR="00617E1C" w:rsidRDefault="00617E1C" w:rsidP="008B3A95"/>
    <w:p w:rsidR="00617E1C" w:rsidRPr="008B3A95" w:rsidRDefault="00617E1C" w:rsidP="008B3A95"/>
    <w:p w:rsidR="008B3A95" w:rsidRPr="008B3A95" w:rsidRDefault="008B3A95" w:rsidP="008B3A95"/>
    <w:tbl>
      <w:tblPr>
        <w:tblStyle w:val="TableGrid"/>
        <w:tblW w:w="0" w:type="auto"/>
        <w:shd w:val="clear" w:color="auto" w:fill="FFFFFF" w:themeFill="background1"/>
        <w:tblLook w:val="04A0"/>
      </w:tblPr>
      <w:tblGrid>
        <w:gridCol w:w="288"/>
        <w:gridCol w:w="270"/>
        <w:gridCol w:w="270"/>
        <w:gridCol w:w="270"/>
        <w:gridCol w:w="270"/>
        <w:gridCol w:w="270"/>
        <w:gridCol w:w="270"/>
        <w:gridCol w:w="270"/>
      </w:tblGrid>
      <w:tr w:rsidR="008B3A95" w:rsidRPr="008B3A95" w:rsidTr="00EA7E3C">
        <w:trPr>
          <w:trHeight w:val="179"/>
        </w:trPr>
        <w:tc>
          <w:tcPr>
            <w:tcW w:w="288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</w:tr>
      <w:tr w:rsidR="008B3A95" w:rsidRPr="008B3A95" w:rsidTr="00EA7E3C">
        <w:tc>
          <w:tcPr>
            <w:tcW w:w="288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</w:tr>
      <w:tr w:rsidR="008B3A95" w:rsidRPr="008B3A95" w:rsidTr="00EA7E3C">
        <w:tc>
          <w:tcPr>
            <w:tcW w:w="288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</w:tr>
      <w:tr w:rsidR="008B3A95" w:rsidRPr="008B3A95" w:rsidTr="00EA7E3C">
        <w:tc>
          <w:tcPr>
            <w:tcW w:w="288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</w:tr>
      <w:tr w:rsidR="008B3A95" w:rsidRPr="008B3A95" w:rsidTr="00EA7E3C">
        <w:tc>
          <w:tcPr>
            <w:tcW w:w="288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</w:tr>
      <w:tr w:rsidR="008B3A95" w:rsidRPr="008B3A95" w:rsidTr="00EA7E3C">
        <w:tc>
          <w:tcPr>
            <w:tcW w:w="288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</w:tr>
      <w:tr w:rsidR="008B3A95" w:rsidRPr="008B3A95" w:rsidTr="00EA7E3C">
        <w:tc>
          <w:tcPr>
            <w:tcW w:w="288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</w:tr>
      <w:tr w:rsidR="008B3A95" w:rsidRPr="008B3A95" w:rsidTr="00EA7E3C">
        <w:tc>
          <w:tcPr>
            <w:tcW w:w="288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A6A6A6" w:themeFill="background1" w:themeFillShade="A6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2F2F2" w:themeFill="background1" w:themeFillShade="F2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  <w:tc>
          <w:tcPr>
            <w:tcW w:w="270" w:type="dxa"/>
            <w:shd w:val="clear" w:color="auto" w:fill="FFFFFF" w:themeFill="background1"/>
          </w:tcPr>
          <w:p w:rsidR="008B3A95" w:rsidRPr="008B3A95" w:rsidRDefault="008B3A95" w:rsidP="008B3A95"/>
        </w:tc>
      </w:tr>
    </w:tbl>
    <w:p w:rsidR="008B3A95" w:rsidRPr="008B3A95" w:rsidRDefault="008B3A95" w:rsidP="008B3A95"/>
    <w:p w:rsidR="0052566A" w:rsidRDefault="00617E1C">
      <w:r>
        <w:rPr>
          <w:noProof/>
        </w:rPr>
        <w:lastRenderedPageBreak/>
        <w:drawing>
          <wp:inline distT="0" distB="0" distL="0" distR="0">
            <wp:extent cx="5191125" cy="5200650"/>
            <wp:effectExtent l="0" t="0" r="9525" b="0"/>
            <wp:docPr id="1" name="Picture 1" descr="F:\kelly_ellsworth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kelly_ellsworth_1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484" w:rsidRDefault="006E6484"/>
    <w:p w:rsidR="006E6484" w:rsidRDefault="00240097">
      <w:r>
        <w:t xml:space="preserve">Write the fractions for each group of colors. </w:t>
      </w:r>
      <w:bookmarkStart w:id="0" w:name="_GoBack"/>
      <w:r>
        <w:t>There are 2 yellow squares=2/64.</w:t>
      </w:r>
      <w:bookmarkEnd w:id="0"/>
    </w:p>
    <w:sectPr w:rsidR="006E6484" w:rsidSect="00D927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6F2"/>
    <w:multiLevelType w:val="multilevel"/>
    <w:tmpl w:val="24C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D5B20"/>
    <w:multiLevelType w:val="hybridMultilevel"/>
    <w:tmpl w:val="5C3A7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C1935"/>
    <w:multiLevelType w:val="multilevel"/>
    <w:tmpl w:val="9D0C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C814DD"/>
    <w:multiLevelType w:val="multilevel"/>
    <w:tmpl w:val="17A21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FF7072"/>
    <w:multiLevelType w:val="multilevel"/>
    <w:tmpl w:val="05CE0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>
    <w:useFELayout/>
  </w:compat>
  <w:rsids>
    <w:rsidRoot w:val="008F1D4D"/>
    <w:rsid w:val="000048EE"/>
    <w:rsid w:val="000650F5"/>
    <w:rsid w:val="00145278"/>
    <w:rsid w:val="00150F49"/>
    <w:rsid w:val="00240097"/>
    <w:rsid w:val="002822F4"/>
    <w:rsid w:val="003A0B2D"/>
    <w:rsid w:val="0049776F"/>
    <w:rsid w:val="004E45C0"/>
    <w:rsid w:val="005072E5"/>
    <w:rsid w:val="0052566A"/>
    <w:rsid w:val="00617E1C"/>
    <w:rsid w:val="00690959"/>
    <w:rsid w:val="006B5F37"/>
    <w:rsid w:val="006E6484"/>
    <w:rsid w:val="00736226"/>
    <w:rsid w:val="00771BFD"/>
    <w:rsid w:val="007E604D"/>
    <w:rsid w:val="00801799"/>
    <w:rsid w:val="008B3A95"/>
    <w:rsid w:val="008D22A5"/>
    <w:rsid w:val="008F1D4D"/>
    <w:rsid w:val="009521CA"/>
    <w:rsid w:val="009E27D4"/>
    <w:rsid w:val="00AD52E4"/>
    <w:rsid w:val="00B44B60"/>
    <w:rsid w:val="00C6691A"/>
    <w:rsid w:val="00C8483F"/>
    <w:rsid w:val="00CE63A6"/>
    <w:rsid w:val="00D26D92"/>
    <w:rsid w:val="00D927B8"/>
    <w:rsid w:val="00DA12F7"/>
    <w:rsid w:val="00E20B42"/>
    <w:rsid w:val="00ED2030"/>
    <w:rsid w:val="00EE1D62"/>
    <w:rsid w:val="00FA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E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E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691A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E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PopupWH('/share/vsc/glossary/visual_arts/interpret_interpretation.html',200,200)" TargetMode="External"/><Relationship Id="rId13" Type="http://schemas.openxmlformats.org/officeDocument/2006/relationships/hyperlink" Target="javascript:openPopupWH('/share/vsc/glossary/visual_arts/narrative_conventions.html',200,200)" TargetMode="External"/><Relationship Id="rId18" Type="http://schemas.openxmlformats.org/officeDocument/2006/relationships/hyperlink" Target="javascript:openPopupWH('/share/vsc/glossary/visual_arts/artwork_work_of_art.html',200,200)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javascript:openPopupWH('/share/vsc/glossary/visual_arts/design_concepts.html',200,200)" TargetMode="External"/><Relationship Id="rId7" Type="http://schemas.openxmlformats.org/officeDocument/2006/relationships/hyperlink" Target="javascript:openPopupWH('/share/vsc/glossary/visual_arts/art.html',200,200)" TargetMode="External"/><Relationship Id="rId12" Type="http://schemas.openxmlformats.org/officeDocument/2006/relationships/hyperlink" Target="javascript:openPopupWH('/share/vsc/glossary/visual_arts/artwork_work_of_art.html',200,200)" TargetMode="External"/><Relationship Id="rId17" Type="http://schemas.openxmlformats.org/officeDocument/2006/relationships/hyperlink" Target="javascript:openPopupWH('/share/vsc/glossary/visual_arts/artistic_exemplar.html',200,200)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javascript:openPopupWH('/share/vsc/glossary/visual_arts/principles_of_design_principles_of_art.html',200,200)" TargetMode="External"/><Relationship Id="rId20" Type="http://schemas.openxmlformats.org/officeDocument/2006/relationships/hyperlink" Target="javascript:openPopupWH('/share/vsc/glossary/visual_arts/artists.html',200,200)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openPopupWH('/share/vsc/glossary/visual_arts/environment.html',200,200)" TargetMode="External"/><Relationship Id="rId11" Type="http://schemas.openxmlformats.org/officeDocument/2006/relationships/hyperlink" Target="javascript:openPopupWH('/share/vsc/glossary/visual_arts/interpret_interpretation.html',200,200)" TargetMode="External"/><Relationship Id="rId24" Type="http://schemas.openxmlformats.org/officeDocument/2006/relationships/image" Target="media/image1.jpeg"/><Relationship Id="rId5" Type="http://schemas.openxmlformats.org/officeDocument/2006/relationships/hyperlink" Target="javascript:openPopupWH('/share/vsc/glossary/visual_arts/interpret_interpretation.html',200,200)" TargetMode="External"/><Relationship Id="rId15" Type="http://schemas.openxmlformats.org/officeDocument/2006/relationships/hyperlink" Target="javascript:openPopupWH('/share/vsc/glossary/visual_arts/elements_of_art_elements_of_design.html',200,200)" TargetMode="External"/><Relationship Id="rId23" Type="http://schemas.openxmlformats.org/officeDocument/2006/relationships/hyperlink" Target="javascript:openPopupWH('/share/vsc/glossary/visual_arts/principles_of_design_principles_of_art.html',200,200)" TargetMode="External"/><Relationship Id="rId10" Type="http://schemas.openxmlformats.org/officeDocument/2006/relationships/hyperlink" Target="javascript:openPopupWH('/share/vsc/glossary/visual_arts/art.html',200,200)" TargetMode="External"/><Relationship Id="rId19" Type="http://schemas.openxmlformats.org/officeDocument/2006/relationships/hyperlink" Target="javascript:openPopupWH('/share/vsc/glossary/visual_arts/describe_description.html',200,20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openPopupWH('/share/vsc/glossary/visual_arts/environment.html',200,200)" TargetMode="External"/><Relationship Id="rId14" Type="http://schemas.openxmlformats.org/officeDocument/2006/relationships/hyperlink" Target="javascript:openPopupWH('/share/vsc/glossary/visual_arts/artists.html',200,200)" TargetMode="External"/><Relationship Id="rId22" Type="http://schemas.openxmlformats.org/officeDocument/2006/relationships/hyperlink" Target="javascript:openPopupWH('/share/vsc/glossary/visual_arts/elements_of_art_elements_of_design.html',200,200)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teaching artist</Company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BARBOSA</dc:creator>
  <cp:lastModifiedBy>dworsley</cp:lastModifiedBy>
  <cp:revision>5</cp:revision>
  <dcterms:created xsi:type="dcterms:W3CDTF">2013-01-15T17:10:00Z</dcterms:created>
  <dcterms:modified xsi:type="dcterms:W3CDTF">2013-01-28T17:16:00Z</dcterms:modified>
</cp:coreProperties>
</file>